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2103B">
      <w:pPr>
        <w:pStyle w:val="papertitle"/>
        <w:spacing w:before="48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Invariantly propagating dissolution fingers in finite-width systems</w:t>
      </w:r>
    </w:p>
    <w:p w:rsidR="00000000" w:rsidRDefault="00E2103B">
      <w:pPr>
        <w:pStyle w:val="paperautho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Filip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Dutka</w:t>
      </w:r>
      <w:proofErr w:type="spellEnd"/>
      <w:r>
        <w:rPr>
          <w:rFonts w:ascii="Arial" w:hAnsi="Arial" w:cs="Arial"/>
          <w:vertAlign w:val="superscript"/>
          <w:lang w:val="en-US"/>
        </w:rPr>
        <w:t>*</w:t>
      </w:r>
      <w:r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en-US"/>
        </w:rPr>
        <w:t>Piotr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Szymczak</w:t>
      </w:r>
      <w:proofErr w:type="spellEnd"/>
    </w:p>
    <w:p w:rsidR="00000000" w:rsidRDefault="00E2103B">
      <w:pPr>
        <w:pStyle w:val="authoraffiliation"/>
        <w:rPr>
          <w:rFonts w:ascii="Arial" w:eastAsia="Arial" w:hAnsi="Arial" w:cs="Arial"/>
          <w:lang w:val="en-US"/>
        </w:rPr>
      </w:pPr>
      <w:r>
        <w:rPr>
          <w:rFonts w:ascii="Arial" w:hAnsi="Arial" w:cs="Arial"/>
          <w:lang w:val="en-US"/>
        </w:rPr>
        <w:t>Institute of Theoretical Physics, Faculty of Physics, University of Warsaw,</w:t>
      </w:r>
    </w:p>
    <w:p w:rsidR="00000000" w:rsidRPr="002D6236" w:rsidRDefault="00E2103B">
      <w:pPr>
        <w:pStyle w:val="authoraffiliation"/>
        <w:rPr>
          <w:rFonts w:ascii="Arial" w:hAnsi="Arial" w:cs="Arial"/>
          <w:lang w:val="pl-PL"/>
        </w:rPr>
      </w:pPr>
      <w:r>
        <w:rPr>
          <w:rFonts w:ascii="Arial" w:eastAsia="Arial" w:hAnsi="Arial" w:cs="Arial"/>
          <w:lang w:val="en-US"/>
        </w:rPr>
        <w:t xml:space="preserve"> </w:t>
      </w:r>
      <w:r w:rsidRPr="002D6236">
        <w:rPr>
          <w:rFonts w:ascii="Arial" w:hAnsi="Arial" w:cs="Arial"/>
          <w:lang w:val="pl-PL"/>
        </w:rPr>
        <w:t xml:space="preserve">Pasteura 5, 02-093, </w:t>
      </w:r>
      <w:proofErr w:type="spellStart"/>
      <w:r w:rsidRPr="002D6236">
        <w:rPr>
          <w:rFonts w:ascii="Arial" w:hAnsi="Arial" w:cs="Arial"/>
          <w:lang w:val="pl-PL"/>
        </w:rPr>
        <w:t>Warsaw</w:t>
      </w:r>
      <w:proofErr w:type="spellEnd"/>
      <w:r w:rsidRPr="002D6236">
        <w:rPr>
          <w:rFonts w:ascii="Arial" w:hAnsi="Arial" w:cs="Arial"/>
          <w:lang w:val="pl-PL"/>
        </w:rPr>
        <w:t>, Poland</w:t>
      </w:r>
    </w:p>
    <w:p w:rsidR="00000000" w:rsidRPr="002D6236" w:rsidRDefault="00E2103B">
      <w:pPr>
        <w:pStyle w:val="authoraffiliation"/>
        <w:rPr>
          <w:rFonts w:ascii="Arial" w:hAnsi="Arial" w:cs="Arial"/>
          <w:b/>
          <w:sz w:val="22"/>
          <w:szCs w:val="22"/>
          <w:lang w:val="pl-PL"/>
        </w:rPr>
      </w:pPr>
      <w:r w:rsidRPr="002D6236">
        <w:rPr>
          <w:rFonts w:ascii="Arial" w:hAnsi="Arial" w:cs="Arial"/>
          <w:lang w:val="pl-PL"/>
        </w:rPr>
        <w:t>* fdutka@fuw.edu.pl</w:t>
      </w:r>
    </w:p>
    <w:p w:rsidR="00000000" w:rsidRDefault="00E2103B">
      <w:pPr>
        <w:pStyle w:val="Nagwek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ABSTRACT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00000" w:rsidRDefault="00E2103B">
      <w:pPr>
        <w:pStyle w:val="paragrap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Dissolution fi</w:t>
      </w:r>
      <w:r>
        <w:rPr>
          <w:rFonts w:ascii="Arial" w:hAnsi="Arial" w:cs="Arial"/>
          <w:sz w:val="22"/>
          <w:szCs w:val="22"/>
          <w:lang w:val="en-US"/>
        </w:rPr>
        <w:t>ngers are formed in porous medium due to positive feedback between transport of react</w:t>
      </w:r>
      <w:r w:rsidR="002D6236">
        <w:rPr>
          <w:rFonts w:ascii="Arial" w:hAnsi="Arial" w:cs="Arial"/>
          <w:sz w:val="22"/>
          <w:szCs w:val="22"/>
          <w:lang w:val="en-US"/>
        </w:rPr>
        <w:t>ant and chemical reactions [1-4</w:t>
      </w:r>
      <w:r>
        <w:rPr>
          <w:rFonts w:ascii="Arial" w:hAnsi="Arial" w:cs="Arial"/>
          <w:sz w:val="22"/>
          <w:szCs w:val="22"/>
          <w:lang w:val="en-US"/>
        </w:rPr>
        <w:t xml:space="preserve">]. We investigate two-dimensional semi-infinite systems, with constant width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W</m:t>
        </m:r>
      </m:oMath>
      <w:r>
        <w:rPr>
          <w:rFonts w:ascii="Arial" w:hAnsi="Arial" w:cs="Arial"/>
          <w:sz w:val="22"/>
          <w:szCs w:val="22"/>
          <w:lang w:val="en-US"/>
        </w:rPr>
        <w:t xml:space="preserve"> in one direction. In numerical simulations we solve the Darc</w:t>
      </w:r>
      <w:r>
        <w:rPr>
          <w:rFonts w:ascii="Arial" w:hAnsi="Arial" w:cs="Arial"/>
          <w:sz w:val="22"/>
          <w:szCs w:val="22"/>
          <w:lang w:val="en-US"/>
        </w:rPr>
        <w:t xml:space="preserve">y flow problem combined with advection-dispersion-reaction equation for the solute transport to track the evolving shapes of the fingers.  </w:t>
      </w:r>
    </w:p>
    <w:p w:rsidR="00000000" w:rsidRDefault="00E2103B">
      <w:pPr>
        <w:pStyle w:val="paragrap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We find the stationary, invariantly propagating finger shapes for </w:t>
      </w:r>
      <w:r w:rsidR="002D6236">
        <w:rPr>
          <w:rFonts w:ascii="Arial" w:hAnsi="Arial" w:cs="Arial"/>
          <w:sz w:val="22"/>
          <w:szCs w:val="22"/>
          <w:lang w:val="en-US"/>
        </w:rPr>
        <w:t xml:space="preserve">different widths of the system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W</m:t>
        </m:r>
      </m:oMath>
      <w:r>
        <w:rPr>
          <w:rFonts w:ascii="Arial" w:hAnsi="Arial" w:cs="Arial"/>
          <w:sz w:val="22"/>
          <w:szCs w:val="22"/>
          <w:lang w:val="en-US"/>
        </w:rPr>
        <w:t xml:space="preserve">, flow rates and </w:t>
      </w:r>
      <w:r>
        <w:rPr>
          <w:rFonts w:ascii="Arial" w:hAnsi="Arial" w:cs="Arial"/>
          <w:sz w:val="22"/>
          <w:szCs w:val="22"/>
          <w:lang w:val="en-US"/>
        </w:rPr>
        <w:t xml:space="preserve">reaction rates. Shape of the reaction front, turns out to be controlled by two dimensionless numbers – the (width-based)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Péclet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number</w:t>
      </w:r>
      <w:r w:rsidR="002D6236">
        <w:rPr>
          <w:rFonts w:ascii="Arial" w:hAnsi="Arial" w:cs="Arial"/>
          <w:sz w:val="22"/>
          <w:szCs w:val="22"/>
          <w:lang w:val="en-US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P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e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W</m:t>
            </m:r>
          </m:sub>
        </m:sSub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v W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 xml:space="preserve">D 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ϕ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0</m:t>
                </m:r>
              </m:sub>
            </m:sSub>
          </m:den>
        </m:f>
      </m:oMath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Damköhler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number</w:t>
      </w:r>
      <w:r w:rsidR="002D6236">
        <w:rPr>
          <w:rFonts w:ascii="Arial" w:hAnsi="Arial" w:cs="Arial"/>
          <w:sz w:val="22"/>
          <w:szCs w:val="22"/>
          <w:lang w:val="en-US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D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a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W</m:t>
            </m:r>
          </m:sub>
        </m:sSub>
        <m:r>
          <w:rPr>
            <w:rFonts w:ascii="Cambria Math" w:hAnsi="Cambria Math" w:cs="Arial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ksW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v</m:t>
            </m:r>
          </m:den>
        </m:f>
      </m:oMath>
      <w:r>
        <w:rPr>
          <w:rFonts w:ascii="Arial" w:hAnsi="Arial" w:cs="Arial"/>
          <w:sz w:val="22"/>
          <w:szCs w:val="22"/>
          <w:lang w:val="en-US"/>
        </w:rPr>
        <w:t xml:space="preserve">, where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k</m:t>
        </m:r>
      </m:oMath>
      <w:r w:rsidR="002D623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is the reaction rat</w:t>
      </w:r>
      <w:r w:rsidR="002D6236">
        <w:rPr>
          <w:rFonts w:ascii="Arial" w:hAnsi="Arial" w:cs="Arial"/>
          <w:sz w:val="22"/>
          <w:szCs w:val="22"/>
          <w:lang w:val="en-US"/>
        </w:rPr>
        <w:t xml:space="preserve">e,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s</m:t>
        </m:r>
      </m:oMath>
      <w:r w:rsidR="003133FC">
        <w:rPr>
          <w:rFonts w:ascii="Arial" w:hAnsi="Arial" w:cs="Arial"/>
          <w:sz w:val="22"/>
          <w:szCs w:val="22"/>
          <w:lang w:val="en-US"/>
        </w:rPr>
        <w:t xml:space="preserve"> – s</w:t>
      </w:r>
      <w:r w:rsidR="002D6236">
        <w:rPr>
          <w:rFonts w:ascii="Arial" w:hAnsi="Arial" w:cs="Arial"/>
          <w:sz w:val="22"/>
          <w:szCs w:val="22"/>
          <w:lang w:val="en-US"/>
        </w:rPr>
        <w:t xml:space="preserve">pecific reactive surface area,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v</m:t>
        </m:r>
      </m:oMath>
      <w:r w:rsidR="002D623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- characteristic flow rate</w:t>
      </w:r>
      <w:r w:rsidR="002D6236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D</m:t>
        </m:r>
      </m:oMath>
      <w:r>
        <w:rPr>
          <w:rFonts w:ascii="Arial" w:hAnsi="Arial" w:cs="Arial"/>
          <w:sz w:val="22"/>
          <w:szCs w:val="22"/>
          <w:lang w:val="en-US"/>
        </w:rPr>
        <w:t xml:space="preserve"> – diffusion coefficient of the solute</w:t>
      </w:r>
      <w:r w:rsidR="002D6236">
        <w:rPr>
          <w:rFonts w:ascii="Arial" w:hAnsi="Arial" w:cs="Arial"/>
          <w:sz w:val="22"/>
          <w:szCs w:val="22"/>
          <w:lang w:val="en-US"/>
        </w:rPr>
        <w:t xml:space="preserve">, and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ϕ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0</m:t>
            </m:r>
          </m:sub>
        </m:sSub>
      </m:oMath>
      <w:r w:rsidR="002D6236">
        <w:rPr>
          <w:rFonts w:ascii="Arial" w:hAnsi="Arial" w:cs="Arial"/>
          <w:sz w:val="22"/>
          <w:szCs w:val="22"/>
          <w:lang w:val="en-US"/>
        </w:rPr>
        <w:t xml:space="preserve"> – in</w:t>
      </w:r>
      <w:r w:rsidR="002D6236">
        <w:rPr>
          <w:rFonts w:ascii="Arial" w:hAnsi="Arial" w:cs="Arial"/>
          <w:sz w:val="22"/>
          <w:szCs w:val="22"/>
          <w:lang w:val="en-US"/>
        </w:rPr>
        <w:t>itial porosity of the rock matrix</w:t>
      </w:r>
      <w:r>
        <w:rPr>
          <w:rFonts w:ascii="Arial" w:hAnsi="Arial" w:cs="Arial"/>
          <w:sz w:val="22"/>
          <w:szCs w:val="22"/>
          <w:lang w:val="en-US"/>
        </w:rPr>
        <w:t xml:space="preserve">. Length of the stationary finger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L</m:t>
        </m:r>
      </m:oMath>
      <w:r>
        <w:rPr>
          <w:rFonts w:ascii="Arial" w:hAnsi="Arial" w:cs="Arial"/>
          <w:sz w:val="22"/>
          <w:szCs w:val="22"/>
          <w:lang w:val="en-US"/>
        </w:rPr>
        <w:t xml:space="preserve"> turns out to be proportional to</w:t>
      </w:r>
      <w:r w:rsidR="002D6236">
        <w:rPr>
          <w:rFonts w:ascii="Arial" w:hAnsi="Arial" w:cs="Arial"/>
          <w:sz w:val="22"/>
          <w:szCs w:val="22"/>
          <w:lang w:val="en-US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P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e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W</m:t>
            </m:r>
          </m:sub>
        </m:sSub>
        <m:r>
          <w:rPr>
            <w:rFonts w:ascii="Cambria Math" w:hAnsi="Cambria Math" w:cs="Arial"/>
            <w:sz w:val="22"/>
            <w:szCs w:val="22"/>
            <w:lang w:val="en-US"/>
          </w:rPr>
          <m:t>W</m:t>
        </m:r>
      </m:oMath>
      <w:r>
        <w:rPr>
          <w:rFonts w:ascii="Arial" w:hAnsi="Arial" w:cs="Arial"/>
          <w:sz w:val="22"/>
          <w:szCs w:val="22"/>
          <w:lang w:val="en-US"/>
        </w:rPr>
        <w:t>. Velocity of propagating front in initial stages of finger formation as a</w:t>
      </w:r>
      <w:r>
        <w:rPr>
          <w:rFonts w:ascii="Arial" w:hAnsi="Arial" w:cs="Arial"/>
          <w:sz w:val="22"/>
          <w:szCs w:val="22"/>
          <w:lang w:val="en-US"/>
        </w:rPr>
        <w:t xml:space="preserve"> function of system pa</w:t>
      </w:r>
      <w:r w:rsidR="002D6236">
        <w:rPr>
          <w:rFonts w:ascii="Arial" w:hAnsi="Arial" w:cs="Arial"/>
          <w:sz w:val="22"/>
          <w:szCs w:val="22"/>
          <w:lang w:val="en-US"/>
        </w:rPr>
        <w:t xml:space="preserve">rameters is also calculated.  </w:t>
      </w:r>
    </w:p>
    <w:p w:rsidR="00000000" w:rsidRDefault="00E2103B">
      <w:pPr>
        <w:pStyle w:val="paragraph"/>
        <w:ind w:firstLine="0"/>
        <w:rPr>
          <w:rFonts w:ascii="Arial" w:hAnsi="Arial" w:cs="Arial"/>
          <w:sz w:val="22"/>
          <w:szCs w:val="22"/>
          <w:lang w:val="en-GB"/>
        </w:rPr>
      </w:pPr>
    </w:p>
    <w:p w:rsidR="00000000" w:rsidRDefault="00E2103B">
      <w:pPr>
        <w:pStyle w:val="paragrap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31"/>
        <w:gridCol w:w="236"/>
      </w:tblGrid>
      <w:tr w:rsidR="00000000" w:rsidRPr="003133FC">
        <w:tc>
          <w:tcPr>
            <w:tcW w:w="8331" w:type="dxa"/>
            <w:shd w:val="clear" w:color="auto" w:fill="auto"/>
          </w:tcPr>
          <w:p w:rsidR="00000000" w:rsidRPr="002D6236" w:rsidRDefault="00906A32">
            <w:pPr>
              <w:snapToGrid w:val="0"/>
              <w:jc w:val="center"/>
              <w:rPr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152390" cy="1291590"/>
                  <wp:effectExtent l="0" t="0" r="0" b="3810"/>
                  <wp:wrapSquare wrapText="larges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390" cy="129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Pr="003133FC" w:rsidRDefault="00E2103B" w:rsidP="003133F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133FC">
              <w:rPr>
                <w:rStyle w:val="Lgende-GDR"/>
                <w:rFonts w:ascii="Arial" w:hAnsi="Arial" w:cs="Arial"/>
                <w:i/>
                <w:sz w:val="16"/>
                <w:szCs w:val="16"/>
                <w:lang w:val="en-US"/>
              </w:rPr>
              <w:t xml:space="preserve">Fig. 1 Dissolution finger in the limestone quarry in </w:t>
            </w:r>
            <w:proofErr w:type="spellStart"/>
            <w:r w:rsidRPr="003133FC">
              <w:rPr>
                <w:rStyle w:val="Lgende-GDR"/>
                <w:rFonts w:ascii="Arial" w:hAnsi="Arial" w:cs="Arial"/>
                <w:i/>
                <w:sz w:val="16"/>
                <w:szCs w:val="16"/>
                <w:lang w:val="en-US"/>
              </w:rPr>
              <w:t>Sme</w:t>
            </w:r>
            <w:r w:rsidR="003133FC" w:rsidRPr="003133FC">
              <w:rPr>
                <w:rStyle w:val="Lgende-GDR"/>
                <w:rFonts w:ascii="Arial" w:hAnsi="Arial" w:cs="Arial"/>
                <w:i/>
                <w:sz w:val="16"/>
                <w:szCs w:val="16"/>
                <w:lang w:val="en-US"/>
              </w:rPr>
              <w:t>rdyna</w:t>
            </w:r>
            <w:proofErr w:type="spellEnd"/>
            <w:r w:rsidR="003133FC" w:rsidRPr="003133FC">
              <w:rPr>
                <w:rStyle w:val="Lgende-GDR"/>
                <w:rFonts w:ascii="Arial" w:hAnsi="Arial" w:cs="Arial"/>
                <w:i/>
                <w:sz w:val="16"/>
                <w:szCs w:val="16"/>
                <w:lang w:val="en-US"/>
              </w:rPr>
              <w:t xml:space="preserve"> (left) and porosity </w:t>
            </w:r>
            <m:oMath>
              <m:r>
                <w:rPr>
                  <w:rStyle w:val="Lgende-GDR"/>
                  <w:rFonts w:ascii="Cambria Math" w:hAnsi="Cambria Math" w:cs="Arial"/>
                  <w:sz w:val="16"/>
                  <w:szCs w:val="16"/>
                  <w:lang w:val="en-US"/>
                </w:rPr>
                <m:t>ϕ/</m:t>
              </m:r>
              <m:sSub>
                <m:sSubPr>
                  <m:ctrlPr>
                    <w:rPr>
                      <w:rStyle w:val="Lgende-GDR"/>
                      <w:rFonts w:ascii="Cambria Math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Style w:val="Lgende-GDR"/>
                      <w:rFonts w:ascii="Cambria Math" w:hAnsi="Cambria Math" w:cs="Arial"/>
                      <w:sz w:val="16"/>
                      <w:szCs w:val="16"/>
                      <w:lang w:val="en-US"/>
                    </w:rPr>
                    <m:t>ϕ</m:t>
                  </m:r>
                </m:e>
                <m:sub>
                  <m:r>
                    <w:rPr>
                      <w:rStyle w:val="Lgende-GDR"/>
                      <w:rFonts w:ascii="Cambria Math" w:hAnsi="Cambria Math" w:cs="Arial"/>
                      <w:sz w:val="16"/>
                      <w:szCs w:val="16"/>
                      <w:lang w:val="en-US"/>
                    </w:rPr>
                    <m:t>0</m:t>
                  </m:r>
                </m:sub>
              </m:sSub>
            </m:oMath>
            <w:r w:rsidRPr="003133FC">
              <w:rPr>
                <w:rStyle w:val="Lgende-GDR"/>
                <w:rFonts w:ascii="Arial" w:hAnsi="Arial" w:cs="Arial"/>
                <w:i/>
                <w:sz w:val="16"/>
                <w:szCs w:val="16"/>
                <w:lang w:val="en-US"/>
              </w:rPr>
              <w:t xml:space="preserve"> obtained in </w:t>
            </w:r>
            <w:r w:rsidRPr="003133FC">
              <w:rPr>
                <w:rStyle w:val="Lgende-GDR"/>
                <w:rFonts w:ascii="Arial" w:hAnsi="Arial" w:cs="Arial"/>
                <w:i/>
                <w:sz w:val="16"/>
                <w:szCs w:val="16"/>
                <w:lang w:val="en-GB"/>
              </w:rPr>
              <w:t xml:space="preserve">simulation for </w:t>
            </w:r>
            <w:proofErr w:type="spellStart"/>
            <w:r w:rsidR="003133FC" w:rsidRPr="003133FC">
              <w:rPr>
                <w:rFonts w:ascii="Arial" w:hAnsi="Arial" w:cs="Arial"/>
                <w:i/>
                <w:sz w:val="16"/>
                <w:szCs w:val="16"/>
                <w:lang w:val="en-US"/>
              </w:rPr>
              <w:t>Péclet</w:t>
            </w:r>
            <w:proofErr w:type="spellEnd"/>
            <w:r w:rsidRPr="003133FC">
              <w:rPr>
                <w:rStyle w:val="Lgende-GDR"/>
                <w:rFonts w:ascii="Arial" w:hAnsi="Arial" w:cs="Arial"/>
                <w:i/>
                <w:sz w:val="16"/>
                <w:szCs w:val="16"/>
                <w:lang w:val="en-GB"/>
              </w:rPr>
              <w:t xml:space="preserve"> number </w:t>
            </w:r>
            <m:oMath>
              <m:r>
                <w:rPr>
                  <w:rStyle w:val="Lgende-GDR"/>
                  <w:rFonts w:ascii="Cambria Math" w:hAnsi="Cambria Math" w:cs="Arial"/>
                  <w:sz w:val="16"/>
                  <w:szCs w:val="16"/>
                  <w:lang w:val="en-GB"/>
                </w:rPr>
                <m:t>P</m:t>
              </m:r>
              <m:sSub>
                <m:sSubPr>
                  <m:ctrlPr>
                    <w:rPr>
                      <w:rStyle w:val="Lgende-GDR"/>
                      <w:rFonts w:ascii="Cambria Math" w:hAnsi="Cambria Math" w:cs="Arial"/>
                      <w:i/>
                      <w:sz w:val="16"/>
                      <w:szCs w:val="16"/>
                      <w:lang w:val="en-GB"/>
                    </w:rPr>
                  </m:ctrlPr>
                </m:sSubPr>
                <m:e>
                  <m:r>
                    <w:rPr>
                      <w:rStyle w:val="Lgende-GDR"/>
                      <w:rFonts w:ascii="Cambria Math" w:hAnsi="Cambria Math" w:cs="Arial"/>
                      <w:sz w:val="16"/>
                      <w:szCs w:val="16"/>
                      <w:lang w:val="en-GB"/>
                    </w:rPr>
                    <m:t>e</m:t>
                  </m:r>
                </m:e>
                <m:sub>
                  <m:r>
                    <w:rPr>
                      <w:rStyle w:val="Lgende-GDR"/>
                      <w:rFonts w:ascii="Cambria Math" w:hAnsi="Cambria Math" w:cs="Arial"/>
                      <w:sz w:val="16"/>
                      <w:szCs w:val="16"/>
                      <w:lang w:val="en-GB"/>
                    </w:rPr>
                    <m:t>W</m:t>
                  </m:r>
                </m:sub>
              </m:sSub>
              <m:r>
                <w:rPr>
                  <w:rStyle w:val="Lgende-GDR"/>
                  <w:rFonts w:ascii="Cambria Math" w:hAnsi="Cambria Math" w:cs="Arial"/>
                  <w:sz w:val="16"/>
                  <w:szCs w:val="16"/>
                  <w:lang w:val="en-GB"/>
                </w:rPr>
                <m:t>=128</m:t>
              </m:r>
            </m:oMath>
            <w:r w:rsidRPr="003133FC">
              <w:rPr>
                <w:rStyle w:val="Lgende-GDR"/>
                <w:rFonts w:ascii="Arial" w:hAnsi="Arial" w:cs="Arial"/>
                <w:i/>
                <w:sz w:val="16"/>
                <w:szCs w:val="16"/>
                <w:lang w:val="en-GB"/>
              </w:rPr>
              <w:t xml:space="preserve"> and </w:t>
            </w:r>
            <w:proofErr w:type="spellStart"/>
            <w:r w:rsidR="003133FC" w:rsidRPr="003133FC">
              <w:rPr>
                <w:rFonts w:ascii="Arial" w:hAnsi="Arial" w:cs="Arial"/>
                <w:i/>
                <w:sz w:val="16"/>
                <w:szCs w:val="16"/>
                <w:lang w:val="en-US"/>
              </w:rPr>
              <w:t>Damköhler</w:t>
            </w:r>
            <w:proofErr w:type="spellEnd"/>
            <w:r w:rsidR="003133FC" w:rsidRPr="003133FC">
              <w:rPr>
                <w:rStyle w:val="Lgende-GDR"/>
                <w:rFonts w:ascii="Arial" w:hAnsi="Arial" w:cs="Arial"/>
                <w:i/>
                <w:sz w:val="16"/>
                <w:szCs w:val="16"/>
                <w:lang w:val="en-GB"/>
              </w:rPr>
              <w:t xml:space="preserve"> number </w:t>
            </w:r>
            <m:oMath>
              <m:r>
                <w:rPr>
                  <w:rStyle w:val="Lgende-GDR"/>
                  <w:rFonts w:ascii="Cambria Math" w:hAnsi="Cambria Math" w:cs="Arial"/>
                  <w:sz w:val="16"/>
                  <w:szCs w:val="16"/>
                  <w:lang w:val="en-GB"/>
                </w:rPr>
                <m:t>D</m:t>
              </m:r>
              <m:sSub>
                <m:sSubPr>
                  <m:ctrlPr>
                    <w:rPr>
                      <w:rStyle w:val="Lgende-GDR"/>
                      <w:rFonts w:ascii="Cambria Math" w:hAnsi="Cambria Math" w:cs="Arial"/>
                      <w:i/>
                      <w:sz w:val="16"/>
                      <w:szCs w:val="16"/>
                      <w:lang w:val="en-GB"/>
                    </w:rPr>
                  </m:ctrlPr>
                </m:sSubPr>
                <m:e>
                  <m:r>
                    <w:rPr>
                      <w:rStyle w:val="Lgende-GDR"/>
                      <w:rFonts w:ascii="Cambria Math" w:hAnsi="Cambria Math" w:cs="Arial"/>
                      <w:sz w:val="16"/>
                      <w:szCs w:val="16"/>
                      <w:lang w:val="en-GB"/>
                    </w:rPr>
                    <m:t>a</m:t>
                  </m:r>
                </m:e>
                <m:sub>
                  <m:r>
                    <w:rPr>
                      <w:rStyle w:val="Lgende-GDR"/>
                      <w:rFonts w:ascii="Cambria Math" w:hAnsi="Cambria Math" w:cs="Arial"/>
                      <w:sz w:val="16"/>
                      <w:szCs w:val="16"/>
                      <w:lang w:val="en-GB"/>
                    </w:rPr>
                    <m:t>W</m:t>
                  </m:r>
                </m:sub>
              </m:sSub>
              <m:r>
                <w:rPr>
                  <w:rStyle w:val="Lgende-GDR"/>
                  <w:rFonts w:ascii="Cambria Math" w:hAnsi="Cambria Math" w:cs="Arial"/>
                  <w:sz w:val="16"/>
                  <w:szCs w:val="16"/>
                  <w:lang w:val="en-GB"/>
                </w:rPr>
                <m:t>=25.6</m:t>
              </m:r>
            </m:oMath>
            <w:r w:rsidRPr="003133FC">
              <w:rPr>
                <w:rStyle w:val="Lgende-GDR"/>
                <w:rFonts w:ascii="Arial" w:hAnsi="Arial" w:cs="Arial"/>
                <w:i/>
                <w:sz w:val="16"/>
                <w:szCs w:val="16"/>
                <w:lang w:val="en-GB"/>
              </w:rPr>
              <w:t xml:space="preserve"> (</w:t>
            </w:r>
            <w:r w:rsidRPr="003133FC">
              <w:rPr>
                <w:rStyle w:val="Lgende-GDR"/>
                <w:rFonts w:ascii="Arial" w:hAnsi="Arial" w:cs="Arial"/>
                <w:i/>
                <w:sz w:val="16"/>
                <w:szCs w:val="16"/>
                <w:lang w:val="en-GB"/>
              </w:rPr>
              <w:t xml:space="preserve">right). Inset shows close-up </w:t>
            </w:r>
            <w:r w:rsidRPr="003133FC">
              <w:rPr>
                <w:rStyle w:val="Lgende-GDR"/>
                <w:rFonts w:ascii="Arial" w:hAnsi="Arial" w:cs="Arial"/>
                <w:i/>
                <w:sz w:val="16"/>
                <w:szCs w:val="16"/>
                <w:lang w:val="en-GB"/>
              </w:rPr>
              <w:t xml:space="preserve">of the dissolution front. </w:t>
            </w:r>
          </w:p>
        </w:tc>
        <w:tc>
          <w:tcPr>
            <w:tcW w:w="236" w:type="dxa"/>
            <w:shd w:val="clear" w:color="auto" w:fill="auto"/>
          </w:tcPr>
          <w:p w:rsidR="00000000" w:rsidRPr="003133FC" w:rsidRDefault="00E2103B">
            <w:pPr>
              <w:snapToGrid w:val="0"/>
              <w:jc w:val="center"/>
              <w:rPr>
                <w:lang w:val="en-US"/>
              </w:rPr>
            </w:pPr>
          </w:p>
        </w:tc>
      </w:tr>
    </w:tbl>
    <w:p w:rsidR="00000000" w:rsidRPr="008D0848" w:rsidRDefault="008D0848" w:rsidP="008D0848">
      <w:pPr>
        <w:pStyle w:val="paragraph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D0848">
        <w:rPr>
          <w:rFonts w:ascii="Arial" w:hAnsi="Arial" w:cs="Arial"/>
          <w:b/>
          <w:sz w:val="22"/>
          <w:szCs w:val="22"/>
          <w:lang w:val="en-US"/>
        </w:rPr>
        <w:t>References</w:t>
      </w:r>
    </w:p>
    <w:p w:rsidR="008D0848" w:rsidRPr="008D0848" w:rsidRDefault="008D0848">
      <w:pPr>
        <w:pStyle w:val="paragraph"/>
        <w:rPr>
          <w:rFonts w:ascii="Arial" w:hAnsi="Arial" w:cs="Arial"/>
          <w:sz w:val="22"/>
          <w:szCs w:val="22"/>
          <w:lang w:val="en-US"/>
        </w:rPr>
      </w:pPr>
    </w:p>
    <w:p w:rsidR="00000000" w:rsidRDefault="00E2103B">
      <w:pPr>
        <w:pStyle w:val="reference"/>
        <w:numPr>
          <w:ilvl w:val="0"/>
          <w:numId w:val="3"/>
        </w:numPr>
        <w:rPr>
          <w:rFonts w:ascii="Arial" w:hAnsi="Arial" w:cs="Arial"/>
          <w:sz w:val="15"/>
          <w:szCs w:val="15"/>
          <w:lang w:val="en-US"/>
        </w:rPr>
      </w:pPr>
      <w:bookmarkStart w:id="0" w:name="Name1"/>
      <w:bookmarkEnd w:id="0"/>
      <w:r>
        <w:rPr>
          <w:rFonts w:ascii="Arial" w:hAnsi="Arial" w:cs="Arial"/>
          <w:sz w:val="15"/>
          <w:szCs w:val="15"/>
          <w:lang w:val="en-US"/>
        </w:rPr>
        <w:t xml:space="preserve">P. </w:t>
      </w:r>
      <w:proofErr w:type="spellStart"/>
      <w:r>
        <w:rPr>
          <w:rFonts w:ascii="Arial" w:hAnsi="Arial" w:cs="Arial"/>
          <w:sz w:val="15"/>
          <w:szCs w:val="15"/>
          <w:lang w:val="en-US"/>
        </w:rPr>
        <w:t>Ortoleva</w:t>
      </w:r>
      <w:proofErr w:type="spellEnd"/>
      <w:r>
        <w:rPr>
          <w:rFonts w:ascii="Arial" w:hAnsi="Arial" w:cs="Arial"/>
          <w:sz w:val="15"/>
          <w:szCs w:val="15"/>
          <w:lang w:val="en-US"/>
        </w:rPr>
        <w:t xml:space="preserve">, </w:t>
      </w:r>
      <w:proofErr w:type="spellStart"/>
      <w:r>
        <w:rPr>
          <w:rFonts w:ascii="Arial" w:hAnsi="Arial" w:cs="Arial"/>
          <w:sz w:val="15"/>
          <w:szCs w:val="15"/>
          <w:lang w:val="en-US"/>
        </w:rPr>
        <w:t>Chadam</w:t>
      </w:r>
      <w:proofErr w:type="spellEnd"/>
      <w:r>
        <w:rPr>
          <w:rFonts w:ascii="Arial" w:hAnsi="Arial" w:cs="Arial"/>
          <w:sz w:val="15"/>
          <w:szCs w:val="15"/>
          <w:lang w:val="en-US"/>
        </w:rPr>
        <w:t>, J. E.</w:t>
      </w:r>
      <w:r>
        <w:rPr>
          <w:rFonts w:ascii="Arial" w:hAnsi="Arial" w:cs="Arial"/>
          <w:sz w:val="15"/>
          <w:szCs w:val="15"/>
          <w:lang w:val="en-US"/>
        </w:rPr>
        <w:t>, Merino, and</w:t>
      </w:r>
      <w:r>
        <w:rPr>
          <w:rFonts w:ascii="Arial" w:hAnsi="Arial" w:cs="Arial"/>
          <w:sz w:val="15"/>
          <w:szCs w:val="15"/>
          <w:lang w:val="en-US"/>
        </w:rPr>
        <w:t xml:space="preserve"> A. </w:t>
      </w:r>
      <w:proofErr w:type="spellStart"/>
      <w:r>
        <w:rPr>
          <w:rFonts w:ascii="Arial" w:hAnsi="Arial" w:cs="Arial"/>
          <w:sz w:val="15"/>
          <w:szCs w:val="15"/>
          <w:lang w:val="en-US"/>
        </w:rPr>
        <w:t>Sen</w:t>
      </w:r>
      <w:proofErr w:type="spellEnd"/>
      <w:r>
        <w:rPr>
          <w:rFonts w:ascii="Arial" w:hAnsi="Arial" w:cs="Arial"/>
          <w:sz w:val="15"/>
          <w:szCs w:val="15"/>
          <w:lang w:val="en-US"/>
        </w:rPr>
        <w:t>,</w:t>
      </w:r>
      <w:r>
        <w:rPr>
          <w:rFonts w:ascii="Arial" w:hAnsi="Arial" w:cs="Arial"/>
          <w:sz w:val="15"/>
          <w:szCs w:val="15"/>
          <w:lang w:val="en-US"/>
        </w:rPr>
        <w:t xml:space="preserve"> Geochemical self-organization II: the reactive-infiltration instability,</w:t>
      </w:r>
      <w:r>
        <w:rPr>
          <w:rFonts w:ascii="Arial" w:hAnsi="Arial" w:cs="Arial"/>
          <w:sz w:val="15"/>
          <w:szCs w:val="15"/>
          <w:lang w:val="en-US"/>
        </w:rPr>
        <w:t xml:space="preserve"> </w:t>
      </w:r>
      <w:r w:rsidRPr="00E2103B">
        <w:rPr>
          <w:rFonts w:ascii="Arial" w:hAnsi="Arial" w:cs="Arial"/>
          <w:b/>
          <w:sz w:val="15"/>
          <w:szCs w:val="15"/>
          <w:lang w:val="en-US"/>
        </w:rPr>
        <w:t xml:space="preserve">Am. J. </w:t>
      </w:r>
      <w:proofErr w:type="spellStart"/>
      <w:r w:rsidRPr="00E2103B">
        <w:rPr>
          <w:rFonts w:ascii="Arial" w:hAnsi="Arial" w:cs="Arial"/>
          <w:b/>
          <w:sz w:val="15"/>
          <w:szCs w:val="15"/>
          <w:lang w:val="en-US"/>
        </w:rPr>
        <w:t>Sci</w:t>
      </w:r>
      <w:proofErr w:type="spellEnd"/>
      <w:r w:rsidRPr="00E2103B">
        <w:rPr>
          <w:rFonts w:ascii="Arial" w:hAnsi="Arial" w:cs="Arial"/>
          <w:b/>
          <w:sz w:val="15"/>
          <w:szCs w:val="15"/>
          <w:lang w:val="en-US"/>
        </w:rPr>
        <w:t>, 287</w:t>
      </w:r>
      <w:r>
        <w:rPr>
          <w:rFonts w:ascii="Arial" w:hAnsi="Arial" w:cs="Arial"/>
          <w:sz w:val="15"/>
          <w:szCs w:val="15"/>
          <w:lang w:val="en-US"/>
        </w:rPr>
        <w:t xml:space="preserve">, 1008-1040 </w:t>
      </w:r>
      <w:r>
        <w:rPr>
          <w:rFonts w:ascii="Arial" w:hAnsi="Arial" w:cs="Arial"/>
          <w:sz w:val="15"/>
          <w:szCs w:val="15"/>
          <w:lang w:val="en-US"/>
        </w:rPr>
        <w:t>(1987)</w:t>
      </w:r>
      <w:r>
        <w:rPr>
          <w:rFonts w:ascii="Arial" w:hAnsi="Arial" w:cs="Arial"/>
          <w:sz w:val="15"/>
          <w:szCs w:val="15"/>
          <w:lang w:val="en-US"/>
        </w:rPr>
        <w:t>.</w:t>
      </w:r>
    </w:p>
    <w:p w:rsidR="00000000" w:rsidRDefault="00E2103B">
      <w:pPr>
        <w:pStyle w:val="reference"/>
        <w:numPr>
          <w:ilvl w:val="0"/>
          <w:numId w:val="3"/>
        </w:numPr>
        <w:rPr>
          <w:rFonts w:ascii="Arial" w:hAnsi="Arial" w:cs="Arial"/>
          <w:sz w:val="15"/>
          <w:szCs w:val="15"/>
          <w:lang w:val="en-US"/>
        </w:rPr>
      </w:pPr>
      <w:r>
        <w:rPr>
          <w:rFonts w:ascii="Arial" w:hAnsi="Arial" w:cs="Arial"/>
          <w:sz w:val="15"/>
          <w:szCs w:val="15"/>
          <w:lang w:val="en-US"/>
        </w:rPr>
        <w:t xml:space="preserve">M. L. </w:t>
      </w:r>
      <w:proofErr w:type="spellStart"/>
      <w:r>
        <w:rPr>
          <w:rFonts w:ascii="Arial" w:hAnsi="Arial" w:cs="Arial"/>
          <w:sz w:val="15"/>
          <w:szCs w:val="15"/>
          <w:lang w:val="en-US"/>
        </w:rPr>
        <w:t>Hoefner</w:t>
      </w:r>
      <w:proofErr w:type="spellEnd"/>
      <w:r>
        <w:rPr>
          <w:rFonts w:ascii="Arial" w:hAnsi="Arial" w:cs="Arial"/>
          <w:sz w:val="15"/>
          <w:szCs w:val="15"/>
          <w:lang w:val="en-US"/>
        </w:rPr>
        <w:t xml:space="preserve">, and H. S. </w:t>
      </w:r>
      <w:proofErr w:type="spellStart"/>
      <w:r>
        <w:rPr>
          <w:rFonts w:ascii="Arial" w:hAnsi="Arial" w:cs="Arial"/>
          <w:sz w:val="15"/>
          <w:szCs w:val="15"/>
          <w:lang w:val="en-US"/>
        </w:rPr>
        <w:t>Fogler</w:t>
      </w:r>
      <w:proofErr w:type="spellEnd"/>
      <w:r>
        <w:rPr>
          <w:rFonts w:ascii="Arial" w:hAnsi="Arial" w:cs="Arial"/>
          <w:sz w:val="15"/>
          <w:szCs w:val="15"/>
          <w:lang w:val="en-US"/>
        </w:rPr>
        <w:t xml:space="preserve">. </w:t>
      </w:r>
      <w:r>
        <w:rPr>
          <w:rFonts w:ascii="Arial" w:hAnsi="Arial" w:cs="Arial"/>
          <w:sz w:val="15"/>
          <w:szCs w:val="15"/>
          <w:lang w:val="en-US"/>
        </w:rPr>
        <w:t>Por</w:t>
      </w:r>
      <w:r>
        <w:rPr>
          <w:rFonts w:ascii="Arial" w:hAnsi="Arial" w:cs="Arial"/>
          <w:sz w:val="15"/>
          <w:szCs w:val="15"/>
          <w:lang w:val="en-US"/>
        </w:rPr>
        <w:t xml:space="preserve">e evolution and channel formation during flow and reaction in porous media, </w:t>
      </w:r>
      <w:proofErr w:type="spellStart"/>
      <w:r>
        <w:rPr>
          <w:rFonts w:ascii="Arial" w:hAnsi="Arial" w:cs="Arial"/>
          <w:b/>
          <w:sz w:val="15"/>
          <w:szCs w:val="15"/>
          <w:lang w:val="en-US"/>
        </w:rPr>
        <w:t>AIChE</w:t>
      </w:r>
      <w:proofErr w:type="spellEnd"/>
      <w:r>
        <w:rPr>
          <w:rFonts w:ascii="Arial" w:hAnsi="Arial" w:cs="Arial"/>
          <w:b/>
          <w:sz w:val="15"/>
          <w:szCs w:val="15"/>
          <w:lang w:val="en-US"/>
        </w:rPr>
        <w:t xml:space="preserve"> Journal 34</w:t>
      </w:r>
      <w:r>
        <w:rPr>
          <w:rFonts w:ascii="Arial" w:hAnsi="Arial" w:cs="Arial"/>
          <w:sz w:val="15"/>
          <w:szCs w:val="15"/>
          <w:lang w:val="en-US"/>
        </w:rPr>
        <w:t xml:space="preserve">, </w:t>
      </w:r>
      <w:r>
        <w:rPr>
          <w:rFonts w:ascii="Arial" w:hAnsi="Arial" w:cs="Arial"/>
          <w:sz w:val="15"/>
          <w:szCs w:val="15"/>
          <w:lang w:val="en-US"/>
        </w:rPr>
        <w:t xml:space="preserve">45-54 </w:t>
      </w:r>
      <w:r>
        <w:rPr>
          <w:rFonts w:ascii="Arial" w:hAnsi="Arial" w:cs="Arial"/>
          <w:sz w:val="15"/>
          <w:szCs w:val="15"/>
          <w:lang w:val="en-US"/>
        </w:rPr>
        <w:t>(1988)</w:t>
      </w:r>
      <w:r>
        <w:rPr>
          <w:rFonts w:ascii="Arial" w:hAnsi="Arial" w:cs="Arial"/>
          <w:sz w:val="15"/>
          <w:szCs w:val="15"/>
          <w:lang w:val="en-US"/>
        </w:rPr>
        <w:t>.</w:t>
      </w:r>
    </w:p>
    <w:p w:rsidR="00000000" w:rsidRDefault="008D0848">
      <w:pPr>
        <w:pStyle w:val="reference"/>
        <w:numPr>
          <w:ilvl w:val="0"/>
          <w:numId w:val="3"/>
        </w:numPr>
        <w:rPr>
          <w:rFonts w:ascii="Arial" w:eastAsia="Arial" w:hAnsi="Arial" w:cs="Arial"/>
          <w:sz w:val="15"/>
          <w:szCs w:val="15"/>
          <w:lang w:val="en-US"/>
        </w:rPr>
      </w:pPr>
      <w:r>
        <w:rPr>
          <w:rFonts w:ascii="Arial" w:hAnsi="Arial" w:cs="Arial"/>
          <w:sz w:val="15"/>
          <w:szCs w:val="15"/>
          <w:lang w:val="en-US"/>
        </w:rPr>
        <w:t xml:space="preserve">C. E. </w:t>
      </w:r>
      <w:r w:rsidR="00E2103B">
        <w:rPr>
          <w:rFonts w:ascii="Arial" w:hAnsi="Arial" w:cs="Arial"/>
          <w:sz w:val="15"/>
          <w:szCs w:val="15"/>
          <w:lang w:val="en-US"/>
        </w:rPr>
        <w:t>Cohen,</w:t>
      </w:r>
      <w:r>
        <w:rPr>
          <w:rFonts w:ascii="Arial" w:hAnsi="Arial" w:cs="Arial"/>
          <w:sz w:val="15"/>
          <w:szCs w:val="15"/>
          <w:lang w:val="en-US"/>
        </w:rPr>
        <w:t xml:space="preserve"> D.</w:t>
      </w:r>
      <w:r w:rsidR="00E2103B">
        <w:rPr>
          <w:rFonts w:ascii="Arial" w:hAnsi="Arial" w:cs="Arial"/>
          <w:sz w:val="15"/>
          <w:szCs w:val="15"/>
          <w:lang w:val="en-US"/>
        </w:rPr>
        <w:t xml:space="preserve"> Ding</w:t>
      </w:r>
      <w:r w:rsidR="00E2103B">
        <w:rPr>
          <w:rFonts w:ascii="Arial" w:hAnsi="Arial" w:cs="Arial"/>
          <w:sz w:val="15"/>
          <w:szCs w:val="15"/>
          <w:lang w:val="en-US"/>
        </w:rPr>
        <w:t>,</w:t>
      </w:r>
      <w:r>
        <w:rPr>
          <w:rFonts w:ascii="Arial" w:hAnsi="Arial" w:cs="Arial"/>
          <w:sz w:val="15"/>
          <w:szCs w:val="15"/>
          <w:lang w:val="en-US"/>
        </w:rPr>
        <w:t xml:space="preserve"> M. </w:t>
      </w:r>
      <w:proofErr w:type="spellStart"/>
      <w:r>
        <w:rPr>
          <w:rFonts w:ascii="Arial" w:hAnsi="Arial" w:cs="Arial"/>
          <w:sz w:val="15"/>
          <w:szCs w:val="15"/>
          <w:lang w:val="en-US"/>
        </w:rPr>
        <w:t>Quintard</w:t>
      </w:r>
      <w:proofErr w:type="spellEnd"/>
      <w:r w:rsidR="00E2103B">
        <w:rPr>
          <w:rFonts w:ascii="Arial" w:hAnsi="Arial" w:cs="Arial"/>
          <w:sz w:val="15"/>
          <w:szCs w:val="15"/>
          <w:lang w:val="en-US"/>
        </w:rPr>
        <w:t xml:space="preserve">, and </w:t>
      </w:r>
      <w:r>
        <w:rPr>
          <w:rFonts w:ascii="Arial" w:hAnsi="Arial" w:cs="Arial"/>
          <w:sz w:val="15"/>
          <w:szCs w:val="15"/>
          <w:lang w:val="en-US"/>
        </w:rPr>
        <w:t xml:space="preserve">B. </w:t>
      </w:r>
      <w:proofErr w:type="spellStart"/>
      <w:r>
        <w:rPr>
          <w:rFonts w:ascii="Arial" w:hAnsi="Arial" w:cs="Arial"/>
          <w:sz w:val="15"/>
          <w:szCs w:val="15"/>
          <w:lang w:val="en-US"/>
        </w:rPr>
        <w:t>Bazin</w:t>
      </w:r>
      <w:proofErr w:type="spellEnd"/>
      <w:r>
        <w:rPr>
          <w:rFonts w:ascii="Arial" w:hAnsi="Arial" w:cs="Arial"/>
          <w:sz w:val="15"/>
          <w:szCs w:val="15"/>
          <w:lang w:val="en-US"/>
        </w:rPr>
        <w:t>,</w:t>
      </w:r>
      <w:r w:rsidR="00E2103B">
        <w:rPr>
          <w:rFonts w:ascii="Arial" w:hAnsi="Arial" w:cs="Arial"/>
          <w:sz w:val="15"/>
          <w:szCs w:val="15"/>
          <w:lang w:val="en-US"/>
        </w:rPr>
        <w:t xml:space="preserve"> </w:t>
      </w:r>
      <w:r w:rsidR="00E2103B">
        <w:rPr>
          <w:rFonts w:ascii="Arial" w:hAnsi="Arial" w:cs="Arial"/>
          <w:sz w:val="15"/>
          <w:szCs w:val="15"/>
          <w:lang w:val="en-US"/>
        </w:rPr>
        <w:t xml:space="preserve">From pore scale to wellbore scale: impact of geometry on wormhole growth in carbonate </w:t>
      </w:r>
      <w:proofErr w:type="spellStart"/>
      <w:r w:rsidR="00E2103B">
        <w:rPr>
          <w:rFonts w:ascii="Arial" w:hAnsi="Arial" w:cs="Arial"/>
          <w:sz w:val="15"/>
          <w:szCs w:val="15"/>
          <w:lang w:val="en-US"/>
        </w:rPr>
        <w:t>acidization</w:t>
      </w:r>
      <w:proofErr w:type="spellEnd"/>
      <w:r w:rsidR="00E2103B">
        <w:rPr>
          <w:rFonts w:ascii="Arial" w:hAnsi="Arial" w:cs="Arial"/>
          <w:sz w:val="15"/>
          <w:szCs w:val="15"/>
          <w:lang w:val="en-US"/>
        </w:rPr>
        <w:t>,</w:t>
      </w:r>
      <w:r w:rsidR="00E2103B">
        <w:rPr>
          <w:rFonts w:ascii="Arial" w:hAnsi="Arial" w:cs="Arial"/>
          <w:sz w:val="15"/>
          <w:szCs w:val="15"/>
          <w:lang w:val="en-US"/>
        </w:rPr>
        <w:t xml:space="preserve"> </w:t>
      </w:r>
      <w:r w:rsidR="00E2103B" w:rsidRPr="00E2103B">
        <w:rPr>
          <w:rFonts w:ascii="Arial" w:hAnsi="Arial" w:cs="Arial"/>
          <w:b/>
          <w:sz w:val="15"/>
          <w:szCs w:val="15"/>
          <w:lang w:val="en-US"/>
        </w:rPr>
        <w:t>Chemical Engineering Science 63</w:t>
      </w:r>
      <w:r w:rsidR="00E2103B">
        <w:rPr>
          <w:rFonts w:ascii="Arial" w:hAnsi="Arial" w:cs="Arial"/>
          <w:sz w:val="15"/>
          <w:szCs w:val="15"/>
          <w:lang w:val="en-US"/>
        </w:rPr>
        <w:t xml:space="preserve">, 3088-3099 </w:t>
      </w:r>
      <w:r w:rsidR="00E2103B">
        <w:rPr>
          <w:rFonts w:ascii="Arial" w:hAnsi="Arial" w:cs="Arial"/>
          <w:sz w:val="15"/>
          <w:szCs w:val="15"/>
          <w:lang w:val="en-US"/>
        </w:rPr>
        <w:t>(2008).</w:t>
      </w:r>
    </w:p>
    <w:p w:rsidR="00E2103B" w:rsidRPr="00E2103B" w:rsidRDefault="00E2103B" w:rsidP="008D0848">
      <w:pPr>
        <w:pStyle w:val="reference"/>
        <w:numPr>
          <w:ilvl w:val="0"/>
          <w:numId w:val="3"/>
        </w:numPr>
        <w:rPr>
          <w:lang w:val="en-US"/>
        </w:rPr>
      </w:pPr>
      <w:r>
        <w:rPr>
          <w:rFonts w:ascii="Arial" w:eastAsia="Arial" w:hAnsi="Arial" w:cs="Arial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lang w:val="en-US"/>
        </w:rPr>
        <w:t xml:space="preserve">P. </w:t>
      </w:r>
      <w:proofErr w:type="spellStart"/>
      <w:r>
        <w:rPr>
          <w:rFonts w:ascii="Arial" w:hAnsi="Arial" w:cs="Arial"/>
          <w:color w:val="000000"/>
          <w:sz w:val="15"/>
          <w:szCs w:val="15"/>
          <w:lang w:val="en-US"/>
        </w:rPr>
        <w:t>Szymczak</w:t>
      </w:r>
      <w:proofErr w:type="spellEnd"/>
      <w:r>
        <w:rPr>
          <w:rFonts w:ascii="Arial" w:hAnsi="Arial" w:cs="Arial"/>
          <w:color w:val="000000"/>
          <w:sz w:val="15"/>
          <w:szCs w:val="15"/>
          <w:lang w:val="en-US"/>
        </w:rPr>
        <w:t xml:space="preserve"> and A. J. C. Ladd, Reactive infiltration instabilities in rocks. Dissolution of a</w:t>
      </w:r>
      <w:r>
        <w:rPr>
          <w:rFonts w:ascii="Arial" w:hAnsi="Arial" w:cs="Arial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lang w:val="en-US"/>
        </w:rPr>
        <w:t xml:space="preserve">porous matrix, </w:t>
      </w:r>
      <w:bookmarkStart w:id="1" w:name="_GoBack"/>
      <w:r w:rsidRPr="00E2103B">
        <w:rPr>
          <w:rFonts w:ascii="Arial" w:hAnsi="Arial" w:cs="Arial"/>
          <w:b/>
          <w:bCs/>
          <w:color w:val="000000"/>
          <w:sz w:val="15"/>
          <w:szCs w:val="15"/>
          <w:lang w:val="en-US"/>
        </w:rPr>
        <w:t>J. Fluid Mech. 738</w:t>
      </w:r>
      <w:bookmarkEnd w:id="1"/>
      <w:r>
        <w:rPr>
          <w:rFonts w:ascii="Arial" w:hAnsi="Arial" w:cs="Arial"/>
          <w:bCs/>
          <w:color w:val="000000"/>
          <w:sz w:val="15"/>
          <w:szCs w:val="15"/>
          <w:lang w:val="en-US"/>
        </w:rPr>
        <w:t>, 591-630 (2014)</w:t>
      </w:r>
    </w:p>
    <w:p w:rsidR="00000000" w:rsidRPr="008D0848" w:rsidRDefault="00E2103B" w:rsidP="008D0848">
      <w:pPr>
        <w:pStyle w:val="reference"/>
        <w:numPr>
          <w:ilvl w:val="0"/>
          <w:numId w:val="3"/>
        </w:numPr>
        <w:rPr>
          <w:lang w:val="en-US"/>
        </w:rPr>
      </w:pPr>
      <w:r>
        <w:rPr>
          <w:rFonts w:ascii="Arial" w:hAnsi="Arial" w:cs="Arial"/>
          <w:bCs/>
          <w:color w:val="000000"/>
          <w:sz w:val="15"/>
          <w:szCs w:val="15"/>
          <w:lang w:val="en-US"/>
        </w:rPr>
        <w:t xml:space="preserve"> 738</w:t>
      </w:r>
      <w:r w:rsidR="008D0848">
        <w:rPr>
          <w:rFonts w:ascii="Arial" w:hAnsi="Arial" w:cs="Arial"/>
          <w:color w:val="000000"/>
          <w:sz w:val="15"/>
          <w:szCs w:val="15"/>
          <w:lang w:val="en-US"/>
        </w:rPr>
        <w:t>738</w:t>
      </w:r>
      <w:r w:rsidR="008D0848" w:rsidRPr="008D0848">
        <w:rPr>
          <w:rFonts w:ascii="Arial" w:hAnsi="Arial" w:cs="Arial"/>
          <w:color w:val="000000"/>
          <w:sz w:val="15"/>
          <w:szCs w:val="15"/>
          <w:lang w:val="en-US"/>
        </w:rPr>
        <w:t>dd(2014</w:t>
      </w:r>
      <w:r w:rsidRPr="008D0848">
        <w:rPr>
          <w:rFonts w:ascii="Arial" w:hAnsi="Arial" w:cs="Arial"/>
          <w:color w:val="000000"/>
          <w:sz w:val="15"/>
          <w:szCs w:val="15"/>
          <w:lang w:val="en-US"/>
        </w:rPr>
        <w:t>(2014), pp. 591–630</w:t>
      </w:r>
      <w:r>
        <w:rPr>
          <w:rFonts w:ascii="Arial" w:hAnsi="Arial" w:cs="Arial"/>
          <w:color w:val="000000"/>
          <w:sz w:val="15"/>
          <w:szCs w:val="15"/>
          <w:lang w:val="en-US"/>
        </w:rPr>
        <w:t>(</w:t>
      </w:r>
    </w:p>
    <w:sectPr w:rsidR="00000000" w:rsidRPr="008D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ohit Hindi">
    <w:charset w:val="8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5"/>
        <w:szCs w:val="15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32"/>
    <w:rsid w:val="00255C70"/>
    <w:rsid w:val="002D6236"/>
    <w:rsid w:val="003133FC"/>
    <w:rsid w:val="008D0848"/>
    <w:rsid w:val="00906A32"/>
    <w:rsid w:val="00E2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1457AD4-DE0D-415D-B907-04E85239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val="fr-FR"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2"/>
      </w:numPr>
      <w:spacing w:before="240" w:after="240"/>
      <w:jc w:val="center"/>
      <w:outlineLvl w:val="0"/>
    </w:p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15"/>
      <w:szCs w:val="15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Policepardfaut">
    <w:name w:val="Police par défaut"/>
  </w:style>
  <w:style w:type="character" w:customStyle="1" w:styleId="Policepardfaut1">
    <w:name w:val="Police par défaut1"/>
  </w:style>
  <w:style w:type="character" w:customStyle="1" w:styleId="Lgende-GDR">
    <w:name w:val="Légende-GDR"/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fr-FR" w:eastAsia="zh-C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itre1">
    <w:name w:val="Titre1"/>
    <w:basedOn w:val="Normalny"/>
    <w:next w:val="Tekstpodstawowy"/>
    <w:pPr>
      <w:keepNext/>
      <w:spacing w:before="240" w:after="120"/>
    </w:pPr>
  </w:style>
  <w:style w:type="paragraph" w:customStyle="1" w:styleId="Lgende">
    <w:name w:val="Légende"/>
    <w:basedOn w:val="Normalny"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customStyle="1" w:styleId="papertitle">
    <w:name w:val="papertitle"/>
    <w:basedOn w:val="Normalny"/>
    <w:pPr>
      <w:spacing w:before="960"/>
      <w:jc w:val="center"/>
    </w:pPr>
  </w:style>
  <w:style w:type="paragraph" w:customStyle="1" w:styleId="paperauthor">
    <w:name w:val="paperauthor"/>
    <w:basedOn w:val="Normalny"/>
    <w:pPr>
      <w:spacing w:before="360" w:after="360"/>
      <w:jc w:val="center"/>
    </w:pPr>
    <w:rPr>
      <w:sz w:val="28"/>
      <w:szCs w:val="28"/>
    </w:rPr>
  </w:style>
  <w:style w:type="paragraph" w:customStyle="1" w:styleId="authoraffiliation">
    <w:name w:val="authoraffiliation"/>
    <w:basedOn w:val="Normalny"/>
    <w:pPr>
      <w:jc w:val="center"/>
    </w:pPr>
  </w:style>
  <w:style w:type="paragraph" w:customStyle="1" w:styleId="paragraph">
    <w:name w:val="paragraph"/>
    <w:basedOn w:val="Normalny"/>
    <w:pPr>
      <w:ind w:firstLine="274"/>
      <w:jc w:val="both"/>
    </w:pPr>
  </w:style>
  <w:style w:type="paragraph" w:customStyle="1" w:styleId="reference">
    <w:name w:val="reference"/>
    <w:basedOn w:val="Normalny"/>
    <w:pPr>
      <w:ind w:left="274" w:hanging="274"/>
      <w:jc w:val="both"/>
    </w:pPr>
    <w:rPr>
      <w:sz w:val="18"/>
      <w:szCs w:val="18"/>
    </w:rPr>
  </w:style>
  <w:style w:type="paragraph" w:customStyle="1" w:styleId="equation">
    <w:name w:val="equation"/>
    <w:basedOn w:val="Normalny"/>
    <w:pPr>
      <w:jc w:val="both"/>
    </w:pPr>
  </w:style>
  <w:style w:type="paragraph" w:customStyle="1" w:styleId="Contenudetableau">
    <w:name w:val="Contenu de tableau"/>
    <w:basedOn w:val="Normalny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D6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RAISS~1\LOCALS~1\Temp\TEMPLATE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TEMPLATE3</Template>
  <TotalTime>18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template abstract</vt:lpstr>
    </vt:vector>
  </TitlesOfParts>
  <Company>uniwerek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abstract</dc:title>
  <dc:subject/>
  <dc:creator>Pascal ANDREAZZA</dc:creator>
  <cp:keywords/>
  <dc:description/>
  <cp:lastModifiedBy>flip</cp:lastModifiedBy>
  <cp:revision>6</cp:revision>
  <cp:lastPrinted>1601-01-01T00:00:00Z</cp:lastPrinted>
  <dcterms:created xsi:type="dcterms:W3CDTF">2015-10-05T15:03:00Z</dcterms:created>
  <dcterms:modified xsi:type="dcterms:W3CDTF">2015-10-05T15:21:00Z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